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CE6D7E" w14:textId="5F4B3C55" w:rsidR="009B581D" w:rsidRPr="00DA0C55" w:rsidRDefault="00F149FB">
      <w:pPr>
        <w:rPr>
          <w:b/>
          <w:bCs/>
        </w:rPr>
      </w:pPr>
      <w:r w:rsidRPr="00DA0C55">
        <w:rPr>
          <w:b/>
          <w:bCs/>
        </w:rPr>
        <w:t>Supplement Figure 1</w:t>
      </w:r>
    </w:p>
    <w:p w14:paraId="64567CA4" w14:textId="44FB7291" w:rsidR="00F149FB" w:rsidRDefault="00F149FB">
      <w:r>
        <w:rPr>
          <w:noProof/>
        </w:rPr>
        <w:drawing>
          <wp:inline distT="0" distB="0" distL="0" distR="0" wp14:anchorId="34F60497" wp14:editId="11FCADBB">
            <wp:extent cx="5274310" cy="24511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DEFA5" w14:textId="77777777" w:rsidR="00F149FB" w:rsidRPr="00CD4100" w:rsidRDefault="00F149FB" w:rsidP="00F149FB">
      <w:pPr>
        <w:rPr>
          <w:color w:val="000000" w:themeColor="text1"/>
        </w:rPr>
      </w:pPr>
      <w:r w:rsidRPr="00CD4100">
        <w:rPr>
          <w:color w:val="000000" w:themeColor="text1"/>
        </w:rPr>
        <w:t>Supplement</w:t>
      </w:r>
      <w:r w:rsidRPr="00CD4100">
        <w:rPr>
          <w:rFonts w:hint="eastAsia"/>
          <w:color w:val="000000" w:themeColor="text1"/>
        </w:rPr>
        <w:t>ary</w:t>
      </w:r>
      <w:r w:rsidRPr="00CD4100">
        <w:rPr>
          <w:color w:val="000000" w:themeColor="text1"/>
        </w:rPr>
        <w:t xml:space="preserve"> Figure 1. H&amp;E staining showed that SR9009 treatment </w:t>
      </w:r>
      <w:r w:rsidRPr="00CD4100">
        <w:rPr>
          <w:rFonts w:hint="eastAsia"/>
          <w:color w:val="000000" w:themeColor="text1"/>
        </w:rPr>
        <w:t>could</w:t>
      </w:r>
      <w:r w:rsidRPr="00CD4100">
        <w:rPr>
          <w:color w:val="000000" w:themeColor="text1"/>
        </w:rPr>
        <w:t xml:space="preserve"> also significantly reduced the number of infiltrated inflammatory cells in the ciliary body (A) and vitreous (B) at paracentral slide. The right panels indicate the statistical results. Scale bar: 100μm. (n = 4, means</w:t>
      </w:r>
      <w:r w:rsidRPr="00CD4100">
        <w:rPr>
          <w:rFonts w:hint="eastAsia"/>
          <w:color w:val="000000" w:themeColor="text1"/>
        </w:rPr>
        <w:t>±</w:t>
      </w:r>
      <w:r w:rsidRPr="00CD4100">
        <w:rPr>
          <w:color w:val="000000" w:themeColor="text1"/>
        </w:rPr>
        <w:t xml:space="preserve">SEM). </w:t>
      </w:r>
      <w:r w:rsidRPr="00CD4100">
        <w:rPr>
          <w:b/>
          <w:bCs/>
          <w:color w:val="000000" w:themeColor="text1"/>
        </w:rPr>
        <w:t>**</w:t>
      </w:r>
      <w:r w:rsidRPr="00CD4100">
        <w:rPr>
          <w:i/>
          <w:iCs/>
          <w:color w:val="000000" w:themeColor="text1"/>
        </w:rPr>
        <w:t>p</w:t>
      </w:r>
      <w:r w:rsidRPr="00CD4100">
        <w:rPr>
          <w:color w:val="000000" w:themeColor="text1"/>
        </w:rPr>
        <w:t xml:space="preserve"> &lt; 0.01, </w:t>
      </w:r>
      <w:r w:rsidRPr="00CD4100">
        <w:rPr>
          <w:b/>
          <w:bCs/>
          <w:color w:val="000000" w:themeColor="text1"/>
        </w:rPr>
        <w:t>***</w:t>
      </w:r>
      <w:r w:rsidRPr="00CD4100">
        <w:rPr>
          <w:i/>
          <w:iCs/>
          <w:color w:val="000000" w:themeColor="text1"/>
        </w:rPr>
        <w:t>p</w:t>
      </w:r>
      <w:r w:rsidRPr="00CD4100">
        <w:rPr>
          <w:color w:val="000000" w:themeColor="text1"/>
        </w:rPr>
        <w:t xml:space="preserve"> &lt; 0.001, and </w:t>
      </w:r>
      <w:r w:rsidRPr="00CD4100">
        <w:rPr>
          <w:b/>
          <w:bCs/>
          <w:color w:val="000000" w:themeColor="text1"/>
        </w:rPr>
        <w:t>****</w:t>
      </w:r>
      <w:r w:rsidRPr="00CD4100">
        <w:rPr>
          <w:i/>
          <w:iCs/>
          <w:color w:val="000000" w:themeColor="text1"/>
        </w:rPr>
        <w:t>p</w:t>
      </w:r>
      <w:r w:rsidRPr="00CD4100">
        <w:rPr>
          <w:color w:val="000000" w:themeColor="text1"/>
        </w:rPr>
        <w:t xml:space="preserve"> &lt; 0.001.</w:t>
      </w:r>
    </w:p>
    <w:p w14:paraId="7D66F7B1" w14:textId="18D3C53C" w:rsidR="00F149FB" w:rsidRDefault="00F149FB"/>
    <w:p w14:paraId="0F425AC7" w14:textId="72922E36" w:rsidR="00F149FB" w:rsidRPr="00DA0C55" w:rsidRDefault="00F149FB">
      <w:pPr>
        <w:rPr>
          <w:b/>
          <w:bCs/>
        </w:rPr>
      </w:pPr>
      <w:r w:rsidRPr="00DA0C55">
        <w:rPr>
          <w:b/>
          <w:bCs/>
        </w:rPr>
        <w:t xml:space="preserve">Supplement Figure </w:t>
      </w:r>
      <w:r w:rsidRPr="00DA0C55">
        <w:rPr>
          <w:b/>
          <w:bCs/>
        </w:rPr>
        <w:t>2</w:t>
      </w:r>
    </w:p>
    <w:p w14:paraId="6D03D396" w14:textId="218E3841" w:rsidR="00F149FB" w:rsidRDefault="00F149FB">
      <w:r>
        <w:rPr>
          <w:noProof/>
        </w:rPr>
        <w:drawing>
          <wp:inline distT="0" distB="0" distL="0" distR="0" wp14:anchorId="6A19502F" wp14:editId="650FB73D">
            <wp:extent cx="3865245" cy="2729230"/>
            <wp:effectExtent l="0" t="0" r="190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245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ACFE9" w14:textId="77777777" w:rsidR="00F149FB" w:rsidRDefault="00F149FB" w:rsidP="00F149FB">
      <w:r>
        <w:t>Supplement</w:t>
      </w:r>
      <w:r>
        <w:rPr>
          <w:rFonts w:hint="eastAsia"/>
        </w:rPr>
        <w:t>ary</w:t>
      </w:r>
      <w:r>
        <w:t xml:space="preserve"> Figure 2. The cell viability of BV2 cells treated with different concentration of SR900</w:t>
      </w:r>
      <w:r w:rsidRPr="002330E3">
        <w:t>9.</w:t>
      </w:r>
      <w:r w:rsidRPr="002330E3">
        <w:rPr>
          <w:b/>
          <w:bCs/>
        </w:rPr>
        <w:t xml:space="preserve"> ***</w:t>
      </w:r>
      <w:r w:rsidRPr="002330E3">
        <w:rPr>
          <w:i/>
          <w:iCs/>
        </w:rPr>
        <w:t>p</w:t>
      </w:r>
      <w:r w:rsidRPr="002330E3">
        <w:t xml:space="preserve"> &lt; 0.001</w:t>
      </w:r>
      <w:r>
        <w:t>.</w:t>
      </w:r>
    </w:p>
    <w:p w14:paraId="6810CB69" w14:textId="62DE4573" w:rsidR="00F149FB" w:rsidRDefault="00F149FB">
      <w:pPr>
        <w:widowControl/>
        <w:jc w:val="left"/>
      </w:pPr>
      <w:r>
        <w:br w:type="page"/>
      </w:r>
    </w:p>
    <w:p w14:paraId="64DD3FD8" w14:textId="254877A9" w:rsidR="00F149FB" w:rsidRPr="00DA0C55" w:rsidRDefault="00F149FB">
      <w:pPr>
        <w:rPr>
          <w:b/>
          <w:bCs/>
        </w:rPr>
      </w:pPr>
      <w:r w:rsidRPr="00DA0C55">
        <w:rPr>
          <w:b/>
          <w:bCs/>
        </w:rPr>
        <w:lastRenderedPageBreak/>
        <w:t>Supplement</w:t>
      </w:r>
      <w:r w:rsidRPr="00DA0C55">
        <w:rPr>
          <w:rFonts w:hint="eastAsia"/>
          <w:b/>
          <w:bCs/>
        </w:rPr>
        <w:t>ary</w:t>
      </w:r>
      <w:r w:rsidRPr="00DA0C55">
        <w:rPr>
          <w:b/>
          <w:bCs/>
        </w:rPr>
        <w:t xml:space="preserve"> Figure 3</w:t>
      </w:r>
    </w:p>
    <w:p w14:paraId="682359C5" w14:textId="320EBD71" w:rsidR="00F149FB" w:rsidRDefault="00F149FB">
      <w:r>
        <w:rPr>
          <w:noProof/>
        </w:rPr>
        <w:drawing>
          <wp:inline distT="0" distB="0" distL="0" distR="0" wp14:anchorId="4538ADA3" wp14:editId="093C53DD">
            <wp:extent cx="5274310" cy="344170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249D3" w14:textId="6A69FE61" w:rsidR="00F149FB" w:rsidRDefault="00F149FB" w:rsidP="00F149FB">
      <w:r>
        <w:t>Supplement</w:t>
      </w:r>
      <w:r>
        <w:rPr>
          <w:rFonts w:hint="eastAsia"/>
        </w:rPr>
        <w:t>ary</w:t>
      </w:r>
      <w:r>
        <w:t xml:space="preserve"> Figure 3. </w:t>
      </w:r>
      <w:r>
        <w:rPr>
          <w:b/>
          <w:bCs/>
        </w:rPr>
        <w:t xml:space="preserve">SR9009 attenuated LPS-induced inflammatory activation of microglia cell line BV2. </w:t>
      </w:r>
      <w:r>
        <w:t xml:space="preserve">(A-D) The mRNA levels of </w:t>
      </w:r>
      <w:r w:rsidRPr="000C3BC5">
        <w:rPr>
          <w:i/>
          <w:iCs/>
        </w:rPr>
        <w:t>Ccl2</w:t>
      </w:r>
      <w:r>
        <w:t xml:space="preserve"> (A), </w:t>
      </w:r>
      <w:proofErr w:type="spellStart"/>
      <w:r w:rsidRPr="000C3BC5">
        <w:rPr>
          <w:i/>
          <w:iCs/>
        </w:rPr>
        <w:t>Tnf</w:t>
      </w:r>
      <w:proofErr w:type="spellEnd"/>
      <w:r w:rsidRPr="000C3BC5">
        <w:rPr>
          <w:i/>
          <w:iCs/>
        </w:rPr>
        <w:t>α</w:t>
      </w:r>
      <w:r>
        <w:t xml:space="preserve"> (B), </w:t>
      </w:r>
      <w:r w:rsidRPr="000C3BC5">
        <w:rPr>
          <w:i/>
          <w:iCs/>
        </w:rPr>
        <w:t>Il-6</w:t>
      </w:r>
      <w:r>
        <w:t xml:space="preserve"> (C) and Il-1β (D) were examined by qPCR assay</w:t>
      </w:r>
      <w:r w:rsidRPr="00CD4100">
        <w:rPr>
          <w:color w:val="000000" w:themeColor="text1"/>
        </w:rPr>
        <w:t xml:space="preserve">s. (E-H) The concentration of CCL2 (E), TNFA (F), IL6 (G) and IL1β (H) in BV2 supernatant were examined by ELISA assays. SR9009 treatment significantly inhibited LPS-induced the expression of cytokines </w:t>
      </w:r>
      <w:r w:rsidRPr="00CD4100">
        <w:rPr>
          <w:i/>
          <w:iCs/>
          <w:color w:val="000000" w:themeColor="text1"/>
        </w:rPr>
        <w:t>Ccl2</w:t>
      </w:r>
      <w:r w:rsidRPr="00CD4100">
        <w:rPr>
          <w:color w:val="000000" w:themeColor="text1"/>
        </w:rPr>
        <w:t xml:space="preserve">, </w:t>
      </w:r>
      <w:proofErr w:type="spellStart"/>
      <w:r w:rsidRPr="00CD4100">
        <w:rPr>
          <w:i/>
          <w:iCs/>
          <w:color w:val="000000" w:themeColor="text1"/>
        </w:rPr>
        <w:t>Tnf</w:t>
      </w:r>
      <w:proofErr w:type="spellEnd"/>
      <w:r w:rsidRPr="00CD4100">
        <w:rPr>
          <w:i/>
          <w:iCs/>
          <w:color w:val="000000" w:themeColor="text1"/>
        </w:rPr>
        <w:t>α</w:t>
      </w:r>
      <w:r w:rsidRPr="00CD4100">
        <w:rPr>
          <w:color w:val="000000" w:themeColor="text1"/>
        </w:rPr>
        <w:t xml:space="preserve">, </w:t>
      </w:r>
      <w:r w:rsidRPr="00CD4100">
        <w:rPr>
          <w:i/>
          <w:iCs/>
          <w:color w:val="000000" w:themeColor="text1"/>
        </w:rPr>
        <w:t>Il-6</w:t>
      </w:r>
      <w:r w:rsidRPr="00CD4100">
        <w:rPr>
          <w:color w:val="000000" w:themeColor="text1"/>
        </w:rPr>
        <w:t xml:space="preserve"> and </w:t>
      </w:r>
      <w:r w:rsidRPr="00CD4100">
        <w:rPr>
          <w:i/>
          <w:iCs/>
          <w:color w:val="000000" w:themeColor="text1"/>
        </w:rPr>
        <w:t>Il-1β</w:t>
      </w:r>
      <w:r w:rsidRPr="00CD4100">
        <w:rPr>
          <w:color w:val="000000" w:themeColor="text1"/>
        </w:rPr>
        <w:t xml:space="preserve">. (I) The mRNA levels of M1 microglia marker </w:t>
      </w:r>
      <w:proofErr w:type="spellStart"/>
      <w:r w:rsidRPr="00CD4100">
        <w:rPr>
          <w:color w:val="000000" w:themeColor="text1"/>
        </w:rPr>
        <w:t>iNOS</w:t>
      </w:r>
      <w:proofErr w:type="spellEnd"/>
      <w:r w:rsidRPr="00CD4100">
        <w:rPr>
          <w:color w:val="000000" w:themeColor="text1"/>
        </w:rPr>
        <w:t xml:space="preserve"> w</w:t>
      </w:r>
      <w:r>
        <w:t xml:space="preserve">ere also markedly decreased by SR9009 treatment. (J) The concentration of NO in the supernatant of BV2 cells. BV2 cells were pretreated with either </w:t>
      </w:r>
      <w:r w:rsidRPr="00425C50">
        <w:t>10μ</w:t>
      </w:r>
      <w:r>
        <w:t>M SR9009 or vehicle for 2h followed by stimulation with 100ng/ml LPS for 24h. SR9009 treatment reduced the release of NO. (n = 4, means</w:t>
      </w:r>
      <w:r>
        <w:rPr>
          <w:rFonts w:hint="eastAsia"/>
        </w:rPr>
        <w:t>±</w:t>
      </w:r>
      <w:r>
        <w:t>SEM).</w:t>
      </w:r>
      <w:r w:rsidRPr="00466AE4">
        <w:rPr>
          <w:b/>
          <w:bCs/>
        </w:rPr>
        <w:t xml:space="preserve"> #</w:t>
      </w:r>
      <w:r>
        <w:rPr>
          <w:i/>
          <w:iCs/>
        </w:rPr>
        <w:t>p</w:t>
      </w:r>
      <w:r>
        <w:t xml:space="preserve">&lt;0.05 compare with the control group. </w:t>
      </w:r>
      <w:r w:rsidRPr="000A1CD6">
        <w:rPr>
          <w:b/>
          <w:bCs/>
        </w:rPr>
        <w:t>*</w:t>
      </w:r>
      <w:r>
        <w:rPr>
          <w:i/>
          <w:iCs/>
        </w:rPr>
        <w:t>p</w:t>
      </w:r>
      <w:r>
        <w:t xml:space="preserve"> &lt; 0.05, </w:t>
      </w:r>
      <w:r w:rsidRPr="003958A2">
        <w:rPr>
          <w:b/>
          <w:bCs/>
        </w:rPr>
        <w:t>**</w:t>
      </w:r>
      <w:r>
        <w:rPr>
          <w:i/>
          <w:iCs/>
        </w:rPr>
        <w:t>p</w:t>
      </w:r>
      <w:r>
        <w:t xml:space="preserve"> &lt; 0.01, </w:t>
      </w:r>
      <w:r w:rsidRPr="003958A2">
        <w:rPr>
          <w:b/>
          <w:bCs/>
        </w:rPr>
        <w:t>***</w:t>
      </w:r>
      <w:r>
        <w:rPr>
          <w:i/>
          <w:iCs/>
        </w:rPr>
        <w:t>p</w:t>
      </w:r>
      <w:r>
        <w:t xml:space="preserve"> &lt; 0.001, and </w:t>
      </w:r>
      <w:r w:rsidRPr="003958A2">
        <w:rPr>
          <w:b/>
          <w:bCs/>
        </w:rPr>
        <w:t>****</w:t>
      </w:r>
      <w:r>
        <w:rPr>
          <w:i/>
          <w:iCs/>
        </w:rPr>
        <w:t>p</w:t>
      </w:r>
      <w:r>
        <w:t xml:space="preserve"> &lt; 0.001 compare with LPS group. </w:t>
      </w:r>
    </w:p>
    <w:p w14:paraId="7F50B8CF" w14:textId="6D7B7F09" w:rsidR="00F149FB" w:rsidRDefault="00F149FB">
      <w:pPr>
        <w:widowControl/>
        <w:jc w:val="left"/>
      </w:pPr>
      <w:r>
        <w:br w:type="page"/>
      </w:r>
    </w:p>
    <w:p w14:paraId="3C5C75FB" w14:textId="422701C3" w:rsidR="00F149FB" w:rsidRPr="00F149FB" w:rsidRDefault="00F149FB" w:rsidP="00F149FB">
      <w:pPr>
        <w:rPr>
          <w:rFonts w:hint="eastAsia"/>
          <w:color w:val="000000" w:themeColor="text1"/>
        </w:rPr>
      </w:pPr>
      <w:r w:rsidRPr="00F149FB">
        <w:rPr>
          <w:color w:val="000000" w:themeColor="text1"/>
        </w:rPr>
        <w:lastRenderedPageBreak/>
        <w:t>Supplement</w:t>
      </w:r>
      <w:r w:rsidRPr="00F149FB">
        <w:rPr>
          <w:rFonts w:hint="eastAsia"/>
          <w:color w:val="000000" w:themeColor="text1"/>
        </w:rPr>
        <w:t>ary</w:t>
      </w:r>
      <w:r w:rsidRPr="00F149FB">
        <w:rPr>
          <w:color w:val="000000" w:themeColor="text1"/>
        </w:rPr>
        <w:t xml:space="preserve"> Figure 4</w:t>
      </w:r>
    </w:p>
    <w:p w14:paraId="74FDE98A" w14:textId="77777777" w:rsidR="00F149FB" w:rsidRPr="00F149FB" w:rsidRDefault="00F149FB" w:rsidP="00F149FB">
      <w:pPr>
        <w:rPr>
          <w:rFonts w:hint="eastAsia"/>
        </w:rPr>
      </w:pPr>
    </w:p>
    <w:p w14:paraId="58ABEE9D" w14:textId="431AFB15" w:rsidR="00F149FB" w:rsidRDefault="00F149FB" w:rsidP="00F149FB">
      <w:pPr>
        <w:rPr>
          <w:rFonts w:hint="eastAsia"/>
        </w:rPr>
      </w:pPr>
      <w:r>
        <w:rPr>
          <w:noProof/>
        </w:rPr>
        <w:drawing>
          <wp:inline distT="0" distB="0" distL="0" distR="0" wp14:anchorId="627D6BA2" wp14:editId="4DC3D595">
            <wp:extent cx="5274310" cy="16891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37327" w14:textId="01CD41D4" w:rsidR="00F149FB" w:rsidRPr="00EB18A1" w:rsidRDefault="00F149FB" w:rsidP="00F149FB">
      <w:pPr>
        <w:rPr>
          <w:color w:val="000000" w:themeColor="text1"/>
        </w:rPr>
      </w:pPr>
      <w:r w:rsidRPr="00EB18A1">
        <w:rPr>
          <w:color w:val="000000" w:themeColor="text1"/>
        </w:rPr>
        <w:t>Supplement</w:t>
      </w:r>
      <w:r w:rsidRPr="00EB18A1">
        <w:rPr>
          <w:rFonts w:hint="eastAsia"/>
          <w:color w:val="000000" w:themeColor="text1"/>
        </w:rPr>
        <w:t>ary</w:t>
      </w:r>
      <w:r w:rsidRPr="00EB18A1">
        <w:rPr>
          <w:color w:val="000000" w:themeColor="text1"/>
        </w:rPr>
        <w:t xml:space="preserve"> Figure 4. </w:t>
      </w:r>
      <w:r w:rsidRPr="00EB18A1">
        <w:rPr>
          <w:b/>
          <w:bCs/>
          <w:color w:val="000000" w:themeColor="text1"/>
        </w:rPr>
        <w:t>Immunofluorescent staining of primary retinal microglia.</w:t>
      </w:r>
      <w:r w:rsidRPr="00EB18A1">
        <w:rPr>
          <w:color w:val="000000" w:themeColor="text1"/>
        </w:rPr>
        <w:t xml:space="preserve"> (A-C) The purity of primary retinal microglia was assessed by immunostaining of IBA1 (A), CD11</w:t>
      </w:r>
      <w:r w:rsidRPr="00EB18A1">
        <w:rPr>
          <w:rFonts w:hint="eastAsia"/>
          <w:color w:val="000000" w:themeColor="text1"/>
        </w:rPr>
        <w:t>b</w:t>
      </w:r>
      <w:r w:rsidRPr="00EB18A1">
        <w:rPr>
          <w:color w:val="000000" w:themeColor="text1"/>
        </w:rPr>
        <w:t xml:space="preserve"> (B) </w:t>
      </w:r>
      <w:r w:rsidRPr="00EB18A1">
        <w:rPr>
          <w:rFonts w:hint="eastAsia"/>
          <w:color w:val="000000" w:themeColor="text1"/>
        </w:rPr>
        <w:t>and</w:t>
      </w:r>
      <w:r w:rsidRPr="00EB18A1">
        <w:rPr>
          <w:color w:val="000000" w:themeColor="text1"/>
        </w:rPr>
        <w:t xml:space="preserve"> F4/80 (C). </w:t>
      </w:r>
    </w:p>
    <w:p w14:paraId="3A6322E7" w14:textId="77777777" w:rsidR="00F149FB" w:rsidRPr="00EB18A1" w:rsidRDefault="00F149FB" w:rsidP="00F149FB">
      <w:pPr>
        <w:rPr>
          <w:color w:val="000000" w:themeColor="text1"/>
        </w:rPr>
      </w:pPr>
    </w:p>
    <w:p w14:paraId="26EE1B1E" w14:textId="17931D07" w:rsidR="00F149FB" w:rsidRPr="00DA0C55" w:rsidRDefault="00F149FB" w:rsidP="00F149FB">
      <w:pPr>
        <w:rPr>
          <w:b/>
          <w:bCs/>
        </w:rPr>
      </w:pPr>
      <w:r w:rsidRPr="00DA0C55">
        <w:rPr>
          <w:b/>
          <w:bCs/>
        </w:rPr>
        <w:t>Supplement</w:t>
      </w:r>
      <w:r w:rsidRPr="00DA0C55">
        <w:rPr>
          <w:rFonts w:hint="eastAsia"/>
          <w:b/>
          <w:bCs/>
        </w:rPr>
        <w:t>ary</w:t>
      </w:r>
      <w:r w:rsidRPr="00DA0C55">
        <w:rPr>
          <w:b/>
          <w:bCs/>
        </w:rPr>
        <w:t xml:space="preserve"> Figure 5</w:t>
      </w:r>
    </w:p>
    <w:p w14:paraId="04F08638" w14:textId="0373BF08" w:rsidR="00F149FB" w:rsidRPr="00EB18A1" w:rsidRDefault="00F149FB" w:rsidP="00F149FB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2AFD8A7C" wp14:editId="6B52C8A4">
            <wp:extent cx="5274310" cy="281813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49FB">
        <w:rPr>
          <w:color w:val="FF0000"/>
        </w:rPr>
        <w:t xml:space="preserve"> </w:t>
      </w:r>
      <w:r w:rsidRPr="00EB18A1">
        <w:rPr>
          <w:color w:val="000000" w:themeColor="text1"/>
        </w:rPr>
        <w:t>Supplement</w:t>
      </w:r>
      <w:r w:rsidRPr="00EB18A1">
        <w:rPr>
          <w:rFonts w:hint="eastAsia"/>
          <w:color w:val="000000" w:themeColor="text1"/>
        </w:rPr>
        <w:t>ary</w:t>
      </w:r>
      <w:r w:rsidRPr="00EB18A1">
        <w:rPr>
          <w:color w:val="000000" w:themeColor="text1"/>
        </w:rPr>
        <w:t xml:space="preserve"> Figure 5. </w:t>
      </w:r>
      <w:r w:rsidRPr="00EB18A1">
        <w:rPr>
          <w:b/>
          <w:bCs/>
          <w:color w:val="000000" w:themeColor="text1"/>
        </w:rPr>
        <w:t>O</w:t>
      </w:r>
      <w:r w:rsidRPr="00EB18A1">
        <w:rPr>
          <w:rFonts w:hint="eastAsia"/>
          <w:b/>
          <w:bCs/>
          <w:color w:val="000000" w:themeColor="text1"/>
        </w:rPr>
        <w:t>verexpressed</w:t>
      </w:r>
      <w:r w:rsidRPr="00EB18A1">
        <w:rPr>
          <w:b/>
          <w:bCs/>
          <w:color w:val="000000" w:themeColor="text1"/>
        </w:rPr>
        <w:t xml:space="preserve"> Nr1d1 inhibits LPS-induced cytokines release in BV2 cells. </w:t>
      </w:r>
      <w:r w:rsidRPr="00EB18A1">
        <w:rPr>
          <w:color w:val="000000" w:themeColor="text1"/>
        </w:rPr>
        <w:t xml:space="preserve">(A-B) The mRNA level of </w:t>
      </w:r>
      <w:r w:rsidRPr="00EB18A1">
        <w:rPr>
          <w:i/>
          <w:iCs/>
          <w:color w:val="000000" w:themeColor="text1"/>
        </w:rPr>
        <w:t xml:space="preserve">Nr1d1 </w:t>
      </w:r>
      <w:r w:rsidRPr="00EB18A1">
        <w:rPr>
          <w:color w:val="000000" w:themeColor="text1"/>
        </w:rPr>
        <w:t>significantly increased with FLAG-Nr1d1 lentivirus</w:t>
      </w:r>
      <w:r w:rsidRPr="00EB18A1">
        <w:rPr>
          <w:i/>
          <w:iCs/>
          <w:color w:val="000000" w:themeColor="text1"/>
        </w:rPr>
        <w:t xml:space="preserve">. </w:t>
      </w:r>
      <w:r w:rsidRPr="00EB18A1">
        <w:rPr>
          <w:color w:val="000000" w:themeColor="text1"/>
        </w:rPr>
        <w:t xml:space="preserve">(B) Representative gel images of FLAG shows FLAG-Nr1d1 was expressed in BV2 cell transfected with FLAG-Nr1d1 lentivirus. NC, negative control. OE, overexpression. (C-E) Overexpressed </w:t>
      </w:r>
      <w:r w:rsidRPr="00EB18A1">
        <w:rPr>
          <w:i/>
          <w:iCs/>
          <w:color w:val="000000" w:themeColor="text1"/>
        </w:rPr>
        <w:t>Nr1d1</w:t>
      </w:r>
      <w:r w:rsidRPr="00EB18A1">
        <w:rPr>
          <w:color w:val="000000" w:themeColor="text1"/>
        </w:rPr>
        <w:t xml:space="preserve"> decreased the production of </w:t>
      </w:r>
      <w:r w:rsidRPr="00EB18A1">
        <w:rPr>
          <w:i/>
          <w:iCs/>
          <w:color w:val="000000" w:themeColor="text1"/>
        </w:rPr>
        <w:t>Il-6</w:t>
      </w:r>
      <w:r w:rsidRPr="00EB18A1">
        <w:rPr>
          <w:color w:val="000000" w:themeColor="text1"/>
        </w:rPr>
        <w:t xml:space="preserve"> (C), </w:t>
      </w:r>
      <w:r w:rsidRPr="00EB18A1">
        <w:rPr>
          <w:i/>
          <w:iCs/>
          <w:color w:val="000000" w:themeColor="text1"/>
        </w:rPr>
        <w:t>Il-1β</w:t>
      </w:r>
      <w:r w:rsidRPr="00EB18A1">
        <w:rPr>
          <w:color w:val="000000" w:themeColor="text1"/>
        </w:rPr>
        <w:t xml:space="preserve"> (D) and </w:t>
      </w:r>
      <w:r w:rsidRPr="00EB18A1">
        <w:rPr>
          <w:i/>
          <w:iCs/>
          <w:color w:val="000000" w:themeColor="text1"/>
        </w:rPr>
        <w:t>Ccl2</w:t>
      </w:r>
      <w:r w:rsidRPr="00EB18A1">
        <w:rPr>
          <w:color w:val="000000" w:themeColor="text1"/>
        </w:rPr>
        <w:t xml:space="preserve"> (E) following LPS stimulation. (n=4) </w:t>
      </w:r>
      <w:r w:rsidRPr="00EB18A1">
        <w:rPr>
          <w:b/>
          <w:bCs/>
          <w:color w:val="000000" w:themeColor="text1"/>
        </w:rPr>
        <w:t>*</w:t>
      </w:r>
      <w:r w:rsidRPr="00EB18A1">
        <w:rPr>
          <w:i/>
          <w:iCs/>
          <w:color w:val="000000" w:themeColor="text1"/>
        </w:rPr>
        <w:t>p</w:t>
      </w:r>
      <w:r w:rsidRPr="00EB18A1">
        <w:rPr>
          <w:color w:val="000000" w:themeColor="text1"/>
        </w:rPr>
        <w:t xml:space="preserve"> &lt; 0.05, and </w:t>
      </w:r>
      <w:r w:rsidRPr="00EB18A1">
        <w:rPr>
          <w:b/>
          <w:bCs/>
          <w:color w:val="000000" w:themeColor="text1"/>
        </w:rPr>
        <w:t>****</w:t>
      </w:r>
      <w:r w:rsidRPr="00EB18A1">
        <w:rPr>
          <w:i/>
          <w:iCs/>
          <w:color w:val="000000" w:themeColor="text1"/>
        </w:rPr>
        <w:t>p</w:t>
      </w:r>
      <w:r w:rsidRPr="00EB18A1">
        <w:rPr>
          <w:color w:val="000000" w:themeColor="text1"/>
        </w:rPr>
        <w:t xml:space="preserve"> &lt; 0.001. </w:t>
      </w:r>
    </w:p>
    <w:p w14:paraId="112BD903" w14:textId="1A59D602" w:rsidR="00F149FB" w:rsidRPr="00F149FB" w:rsidRDefault="00F149FB">
      <w:pPr>
        <w:rPr>
          <w:rFonts w:hint="eastAsia"/>
        </w:rPr>
      </w:pPr>
    </w:p>
    <w:sectPr w:rsidR="00F149FB" w:rsidRPr="00F149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C07EF7" w14:textId="77777777" w:rsidR="007237CC" w:rsidRDefault="007237CC" w:rsidP="00F149FB">
      <w:r>
        <w:separator/>
      </w:r>
    </w:p>
  </w:endnote>
  <w:endnote w:type="continuationSeparator" w:id="0">
    <w:p w14:paraId="567C121E" w14:textId="77777777" w:rsidR="007237CC" w:rsidRDefault="007237CC" w:rsidP="00F149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03880B" w14:textId="77777777" w:rsidR="007237CC" w:rsidRDefault="007237CC" w:rsidP="00F149FB">
      <w:r>
        <w:separator/>
      </w:r>
    </w:p>
  </w:footnote>
  <w:footnote w:type="continuationSeparator" w:id="0">
    <w:p w14:paraId="35085C70" w14:textId="77777777" w:rsidR="007237CC" w:rsidRDefault="007237CC" w:rsidP="00F149F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00A6"/>
    <w:rsid w:val="004A00A6"/>
    <w:rsid w:val="007237CC"/>
    <w:rsid w:val="009B581D"/>
    <w:rsid w:val="00CD4100"/>
    <w:rsid w:val="00DA0C55"/>
    <w:rsid w:val="00EB18A1"/>
    <w:rsid w:val="00F14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DA5066"/>
  <w15:chartTrackingRefBased/>
  <w15:docId w15:val="{22213A28-D79A-4FE3-A2BF-06529DCDA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仿宋" w:hAnsi="Times New Roman" w:cs="Times New Roman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49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149F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149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149F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323</Words>
  <Characters>1846</Characters>
  <Application>Microsoft Office Word</Application>
  <DocSecurity>0</DocSecurity>
  <Lines>15</Lines>
  <Paragraphs>4</Paragraphs>
  <ScaleCrop>false</ScaleCrop>
  <Company/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志洁</dc:creator>
  <cp:keywords/>
  <dc:description/>
  <cp:lastModifiedBy>王 志洁</cp:lastModifiedBy>
  <cp:revision>6</cp:revision>
  <dcterms:created xsi:type="dcterms:W3CDTF">2021-10-28T02:15:00Z</dcterms:created>
  <dcterms:modified xsi:type="dcterms:W3CDTF">2021-10-28T02:25:00Z</dcterms:modified>
</cp:coreProperties>
</file>